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Pr="005068E5" w:rsidRDefault="006A054D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</w:t>
      </w:r>
      <w:bookmarkStart w:id="0" w:name="_GoBack"/>
      <w:bookmarkEnd w:id="0"/>
      <w:r>
        <w:rPr>
          <w:b/>
          <w:bCs/>
          <w:sz w:val="28"/>
          <w:szCs w:val="28"/>
        </w:rPr>
        <w:t>ывы</w:t>
      </w:r>
    </w:p>
    <w:p w:rsidR="005068E5" w:rsidRDefault="006A054D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участников публичных консультаций</w:t>
      </w:r>
    </w:p>
    <w:p w:rsidR="006A054D" w:rsidRDefault="006A054D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bookmarkStart w:id="1" w:name="OLE_LINK3"/>
      <w:bookmarkStart w:id="2" w:name="OLE_LINK4"/>
      <w:r>
        <w:rPr>
          <w:sz w:val="28"/>
          <w:szCs w:val="28"/>
        </w:rPr>
        <w:t>п</w:t>
      </w:r>
      <w:r w:rsidR="001D360B" w:rsidRPr="006A054D">
        <w:rPr>
          <w:sz w:val="28"/>
          <w:szCs w:val="28"/>
        </w:rPr>
        <w:t xml:space="preserve">роект решения Думы города «О внесении изменения в решение Думы города </w:t>
      </w:r>
    </w:p>
    <w:p w:rsidR="006A054D" w:rsidRPr="006A054D" w:rsidRDefault="001D360B" w:rsidP="006A054D">
      <w:pPr>
        <w:jc w:val="center"/>
        <w:rPr>
          <w:sz w:val="28"/>
          <w:szCs w:val="28"/>
        </w:rPr>
      </w:pPr>
      <w:r w:rsidRPr="006A054D">
        <w:rPr>
          <w:sz w:val="28"/>
          <w:szCs w:val="28"/>
        </w:rPr>
        <w:t>от 26.12.2017 № 206-</w:t>
      </w:r>
      <w:r w:rsidRPr="001D360B">
        <w:rPr>
          <w:sz w:val="28"/>
          <w:szCs w:val="28"/>
          <w:lang w:val="en-US"/>
        </w:rPr>
        <w:t>VI</w:t>
      </w:r>
      <w:r w:rsidRPr="006A054D">
        <w:rPr>
          <w:sz w:val="28"/>
          <w:szCs w:val="28"/>
        </w:rPr>
        <w:t xml:space="preserve"> ДГ «О Правилах благоустройства территории города Сургута»</w:t>
      </w:r>
      <w:bookmarkEnd w:id="1"/>
      <w:bookmarkEnd w:id="2"/>
      <w:r w:rsidR="006A054D">
        <w:rPr>
          <w:sz w:val="28"/>
          <w:szCs w:val="28"/>
        </w:rPr>
        <w:t xml:space="preserve">, </w:t>
      </w:r>
      <w:r w:rsidR="006A054D" w:rsidRPr="006A054D">
        <w:rPr>
          <w:sz w:val="28"/>
          <w:szCs w:val="28"/>
        </w:rPr>
        <w:t xml:space="preserve">в электронном виде с использованием Портала проектов </w:t>
      </w:r>
    </w:p>
    <w:p w:rsidR="0061190A" w:rsidRPr="0033395A" w:rsidRDefault="006A054D" w:rsidP="006A054D">
      <w:pPr>
        <w:jc w:val="center"/>
        <w:rPr>
          <w:sz w:val="28"/>
          <w:szCs w:val="28"/>
        </w:rPr>
      </w:pPr>
      <w:r w:rsidRPr="006A054D">
        <w:rPr>
          <w:sz w:val="28"/>
          <w:szCs w:val="28"/>
        </w:rPr>
        <w:t>нормативных правовых актов</w:t>
      </w:r>
    </w:p>
    <w:p w:rsidR="006A054D" w:rsidRPr="006A054D" w:rsidRDefault="006A054D" w:rsidP="006A054D">
      <w:pPr>
        <w:jc w:val="center"/>
        <w:rPr>
          <w:sz w:val="28"/>
          <w:szCs w:val="28"/>
        </w:rPr>
      </w:pPr>
      <w:r w:rsidRPr="006A054D">
        <w:rPr>
          <w:sz w:val="28"/>
          <w:szCs w:val="28"/>
        </w:rPr>
        <w:t>(</w:t>
      </w:r>
      <w:r w:rsidRPr="006A054D">
        <w:rPr>
          <w:sz w:val="28"/>
          <w:szCs w:val="28"/>
        </w:rPr>
        <w:t xml:space="preserve"> </w:t>
      </w:r>
      <w:bookmarkStart w:id="3" w:name="OLE_LINK5"/>
      <w:bookmarkStart w:id="4" w:name="OLE_LINK6"/>
      <w:r w:rsidRPr="006A054D">
        <w:rPr>
          <w:sz w:val="28"/>
          <w:szCs w:val="28"/>
        </w:rPr>
        <w:fldChar w:fldCharType="begin"/>
      </w:r>
      <w:r w:rsidRPr="006A054D">
        <w:rPr>
          <w:sz w:val="28"/>
          <w:szCs w:val="28"/>
        </w:rPr>
        <w:instrText>HYPERLINK "https://regulation.admhmao.ru/projects#npa=73927"</w:instrText>
      </w:r>
      <w:r w:rsidRPr="006A054D">
        <w:rPr>
          <w:sz w:val="28"/>
          <w:szCs w:val="28"/>
        </w:rPr>
        <w:fldChar w:fldCharType="separate"/>
      </w:r>
      <w:r w:rsidRPr="006A054D">
        <w:rPr>
          <w:rStyle w:val="a8"/>
          <w:sz w:val="28"/>
          <w:szCs w:val="28"/>
          <w:lang w:val="en-US"/>
        </w:rPr>
        <w:t>https</w:t>
      </w:r>
      <w:r w:rsidRPr="006A054D">
        <w:rPr>
          <w:rStyle w:val="a8"/>
          <w:sz w:val="28"/>
          <w:szCs w:val="28"/>
        </w:rPr>
        <w:t>://</w:t>
      </w:r>
      <w:r w:rsidRPr="006A054D">
        <w:rPr>
          <w:rStyle w:val="a8"/>
          <w:sz w:val="28"/>
          <w:szCs w:val="28"/>
          <w:lang w:val="en-US"/>
        </w:rPr>
        <w:t>regulation</w:t>
      </w:r>
      <w:r w:rsidRPr="006A054D">
        <w:rPr>
          <w:rStyle w:val="a8"/>
          <w:sz w:val="28"/>
          <w:szCs w:val="28"/>
        </w:rPr>
        <w:t>.</w:t>
      </w:r>
      <w:r w:rsidRPr="006A054D">
        <w:rPr>
          <w:rStyle w:val="a8"/>
          <w:sz w:val="28"/>
          <w:szCs w:val="28"/>
          <w:lang w:val="en-US"/>
        </w:rPr>
        <w:t>admhmao</w:t>
      </w:r>
      <w:r w:rsidRPr="006A054D">
        <w:rPr>
          <w:rStyle w:val="a8"/>
          <w:sz w:val="28"/>
          <w:szCs w:val="28"/>
        </w:rPr>
        <w:t>.</w:t>
      </w:r>
      <w:r w:rsidRPr="006A054D">
        <w:rPr>
          <w:rStyle w:val="a8"/>
          <w:sz w:val="28"/>
          <w:szCs w:val="28"/>
          <w:lang w:val="en-US"/>
        </w:rPr>
        <w:t>ru</w:t>
      </w:r>
      <w:r w:rsidRPr="006A054D">
        <w:rPr>
          <w:rStyle w:val="a8"/>
          <w:sz w:val="28"/>
          <w:szCs w:val="28"/>
        </w:rPr>
        <w:t>/</w:t>
      </w:r>
      <w:r w:rsidRPr="006A054D">
        <w:rPr>
          <w:rStyle w:val="a8"/>
          <w:sz w:val="28"/>
          <w:szCs w:val="28"/>
          <w:lang w:val="en-US"/>
        </w:rPr>
        <w:t>projects</w:t>
      </w:r>
      <w:r w:rsidRPr="006A054D">
        <w:rPr>
          <w:rStyle w:val="a8"/>
          <w:sz w:val="28"/>
          <w:szCs w:val="28"/>
        </w:rPr>
        <w:t>#</w:t>
      </w:r>
      <w:r w:rsidRPr="006A054D">
        <w:rPr>
          <w:rStyle w:val="a8"/>
          <w:sz w:val="28"/>
          <w:szCs w:val="28"/>
          <w:lang w:val="en-US"/>
        </w:rPr>
        <w:t>npa</w:t>
      </w:r>
      <w:r w:rsidRPr="006A054D">
        <w:rPr>
          <w:rStyle w:val="a8"/>
          <w:sz w:val="28"/>
          <w:szCs w:val="28"/>
        </w:rPr>
        <w:t>=73927</w:t>
      </w:r>
      <w:bookmarkEnd w:id="3"/>
      <w:bookmarkEnd w:id="4"/>
      <w:r w:rsidRPr="006A054D">
        <w:rPr>
          <w:sz w:val="28"/>
          <w:szCs w:val="28"/>
        </w:rPr>
        <w:fldChar w:fldCharType="end"/>
      </w:r>
      <w:r w:rsidRPr="006A054D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6A054D">
        <w:rPr>
          <w:b/>
          <w:sz w:val="22"/>
          <w:szCs w:val="22"/>
        </w:rPr>
        <w:t>01/14/09-25/00073927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24.09.2025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21.10.2025</w:t>
      </w:r>
      <w:r w:rsidR="00F870BE">
        <w:rPr>
          <w:b/>
          <w:sz w:val="22"/>
          <w:szCs w:val="22"/>
        </w:rPr>
        <w:t xml:space="preserve"> 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2</w:t>
      </w:r>
      <w:bookmarkEnd w:id="5"/>
      <w:bookmarkEnd w:id="6"/>
    </w:p>
    <w:p w:rsidR="00980900" w:rsidRDefault="00980900" w:rsidP="00117C8F"/>
    <w:tbl>
      <w:tblPr>
        <w:tblStyle w:val="tablebody"/>
        <w:tblW w:w="10150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653"/>
        <w:gridCol w:w="2693"/>
        <w:gridCol w:w="6804"/>
      </w:tblGrid>
      <w:tr w:rsidR="006A054D" w:rsidRPr="00A829FF" w:rsidTr="00F870BE">
        <w:trPr>
          <w:trHeight w:val="270"/>
        </w:trPr>
        <w:tc>
          <w:tcPr>
            <w:tcW w:w="653" w:type="dxa"/>
            <w:vAlign w:val="center"/>
          </w:tcPr>
          <w:p w:rsidR="006A054D" w:rsidRPr="00A829FF" w:rsidRDefault="006A054D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93" w:type="dxa"/>
            <w:vAlign w:val="center"/>
          </w:tcPr>
          <w:p w:rsidR="006A054D" w:rsidRPr="00A829FF" w:rsidRDefault="006A054D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6804" w:type="dxa"/>
            <w:vAlign w:val="center"/>
          </w:tcPr>
          <w:p w:rsidR="006A054D" w:rsidRPr="00A829FF" w:rsidRDefault="006A054D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6A054D" w:rsidRPr="00A829FF" w:rsidTr="00F870BE">
        <w:trPr>
          <w:trHeight w:val="4043"/>
        </w:trPr>
        <w:tc>
          <w:tcPr>
            <w:tcW w:w="653" w:type="dxa"/>
            <w:vMerge w:val="restart"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</w:tcPr>
          <w:p w:rsidR="006A054D" w:rsidRPr="00A829FF" w:rsidRDefault="006A054D" w:rsidP="006A054D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Валуев Станислав (patton2622@gmail.com)</w:t>
            </w: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Регулирование направлено на решение проблемы хаотичного и небезопасного использования и парковки средств индивидуальной мобильности (СИМ) в городской среде Сургута. Конкретные проблемы: 1. Захламление общественного пространства: Беспорядочная парковка СИМ препятствует движению пешеходов, блокирует входы в здания и выходы из общественного транспорта. 2. Угрозы безопасности: Парковка на путях эвакуации, вблизи переходов и на проезжей части создает риски для всех участников движения. 3. Конфликт между участниками дорожного движения: Высокие скорости и движение в непредназначенных местах приводят к конфликтам между пользователями СИМ, пешеходами и велосипедистами. Актуальность проблемы крайне высока.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В самом тексте документа прямого обоснования (преамбулы с описанием проблемной ситуации) не приведено. Однако необходимость вмешательства подразумевается и вытекает из самих устанавливаемых строгих правил. Цель регулирования (упорядочивание использования и парковки) полностью соответствует решаемой проблеме (хаос и опасность). Документ не просто запрещает, а создает регламентированную систему: определяет места для парковки, зоны ограничений и т.д.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Выбранный вариант является одним из возможных. Его плюс – создание четких, понятных и контролируемых правил.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По видам и отраслям: 1. Специализированные операторы проката СИМ 2. Торговые и бизнес-центры. 3. Управляющие компании многоквартирных домов.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Да, повлияет. Оно создает высокий барьер входа на рынок и может изменить расстановку сил. Барьеры входа: Новым игрокам будет сложнее войти на рынок, так как потребуются ресурсы для согласования парковок и создания службы эвакуации. Изменение расстановки сил: Крупные операторы с большими ресурсами легче адаптируются к новым правилам. Мелкие операторы могут быть вынуждены уйти с рынка.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Обязанности субъектов (пользователей и операторов) прописаны достаточно полно и точно  Слабым местом является описание административных процедур со стороны власти.  Неясно: Каков конкретный порядок и сроки согласования карты парковок с Департаментом городского хозяйства. Каковы критерии согласования или отказа. Кто и как контролирует исполнение правил пользователями (п. 9-11) в реальном времени.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Прямых противоречий с федеральным законодательством не видно. Документ развивает положения Правил дорожного движения РФ, которые лишь в общих чертах регулируют использование СИМ.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Соответствует.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Затрудняюсь ответить.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Для операторов: Невозможность мгновенной эвакуации приведет к накоплению штрафов или иных санкций со стороны администрации. Для пользователей: Невозможность завершить поездку в разрешенном месте из-за их недостаточного количества или плотного заполнения приведет к штрафам со стороны оператора или отказу от использования сервиса. Пример: Пользователь не нашел свободного места для парковки в разрешенной зоне и был вынужден оставить самокат в 101 метрах от школы. Оператор не успевает его оперативно эвакуировать и попадает под санкции.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Издержки операторов: Затраты на согласование карты парковок: Административный ресурс, время. Затраты на нанесение разметки: Если это их обязанность. Затраты на создание и содержание службы эвакуации: Наибольшая статья. Создание парка эвакуаторов, зарплаты водителям, логистам. Упущенная выгода: Сокращение зон обслуживания и числа поездок из-за запретных зон. Издержки бюджета:  Затраты на административное управление, контроль и, возможно, на принудительную эвакуацию с последующим взысканием расходов с операторов. Избыточными можно считать издержки на эвакуацию в том объеме.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Массовость нарушений: Контролировать каждого пользователя физически невозможно. Скоростной режим: Практически неконтролируем без специальных технических средств (радаров для СИМ).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Требуется однозначно. Продолжительность: Не менее 3-6 месяцев. Цели переходного периода: Согласование карт парковок со всеми операторами. Нанесение дорожной разметки. Информирование населения о новых правилах. Адаптация операторов (создание служб эвакуации, обновление ПО).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Личные СИМ: Рассмотреть возможность менее строгих правил для парковки личных самокатов во дворах жилых домов (без создания препятствий), так как на них не распространяется проблема массового проката. Краткосрочная остановка: Ввести понятие "краткосрочной остановки" (до 5-10 минут) без обязательной парковки в спецместе, но с условием, что СИМ не создает помех.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1. Каков конкретный порядок и сроки согласования карты парковок с Департаментом городского хозяйства? 2. Каковы критерии для отказа в согласовании того или иного места? 3. Какие меры ответственности предусмотрены для операторов и пользователей за нарушение правил (штрафы, иные санкции)? 4. Как будет осуществляться контроль за скоростным режимом? 5. Планируется ли создание инфраструктуры для СИМ (отдельных полос, парковок) за счет бюджета?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Стимулировать технологические решения: Закрепить в регламенте требование к операторам использовать технологию гео-фенсинга для блокировки парковки вне разрешенных зон и автоматического ограничения скорости. Это переложит часть контрольных функций на самих операторов. Ввести дифференцированный подход: Установить более жесткие требования для коммерческого проката и более либеральные для владельцев личных СИМ. Разработать реестр нарушителей: Рассмотреть возможность создания механизма, по которому операторы по фотодоказательствам контролирующих органов могут штрафовать пользователей, нарушивших правила парковки. Упростить процедуру эвакуации: Вместо обязанности мгновенной эвакуации ввести для операторов обязанность убрать самокат в течение определенного времени (например, 1-2 часа) после получения уведомления от контролирующего органа.</w:t>
            </w:r>
          </w:p>
        </w:tc>
      </w:tr>
      <w:tr w:rsidR="006A054D" w:rsidRPr="00A829FF" w:rsidTr="00F870BE">
        <w:tc>
          <w:tcPr>
            <w:tcW w:w="653" w:type="dxa"/>
            <w:vMerge w:val="restart"/>
          </w:tcPr>
          <w:p w:rsidR="006A054D" w:rsidRPr="006A054D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vMerge w:val="restart"/>
          </w:tcPr>
          <w:p w:rsidR="006A054D" w:rsidRPr="00A829FF" w:rsidRDefault="006A054D" w:rsidP="006A054D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Шемет Артем (a.shemet@skuvis.ru)</w:t>
            </w: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Проблема массового "навала" самокатов возле автобусных остановок и мест стоянки. С каждым сезоном данная проблема все более и более актуальна.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Да</w:t>
            </w:r>
          </w:p>
        </w:tc>
      </w:tr>
      <w:tr w:rsidR="006A054D" w:rsidRPr="00A829FF" w:rsidTr="00F870BE">
        <w:tc>
          <w:tcPr>
            <w:tcW w:w="653" w:type="dxa"/>
            <w:vMerge/>
          </w:tcPr>
          <w:p w:rsidR="006A054D" w:rsidRPr="00A829FF" w:rsidRDefault="006A054D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6A054D" w:rsidRPr="00A829FF" w:rsidRDefault="006A054D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6A054D" w:rsidRPr="001D360B" w:rsidRDefault="006A054D" w:rsidP="001D360B">
            <w:r w:rsidRPr="001D360B">
              <w:rPr>
                <w:rStyle w:val="pt-000004"/>
                <w:rFonts w:ascii="Times New Roman" w:hAnsi="Times New Roman" w:cs="Times New Roman"/>
              </w:rPr>
              <w:t>Не понятен механизм контроля и каким образом будет (и на кого) возлагаться ответственность за несоблюдение правила зоны парковки.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F870BE">
      <w:headerReference w:type="even" r:id="rId8"/>
      <w:pgSz w:w="11906" w:h="16838"/>
      <w:pgMar w:top="709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166D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54D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0FC9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870BE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BA235"/>
  <w15:docId w15:val="{B5DD96EF-BECE-46F7-A648-FC196E47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BCF75-8887-4B1E-BB18-F70FA661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800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4</cp:revision>
  <cp:lastPrinted>2015-05-12T12:20:00Z</cp:lastPrinted>
  <dcterms:created xsi:type="dcterms:W3CDTF">2025-12-26T12:21:00Z</dcterms:created>
  <dcterms:modified xsi:type="dcterms:W3CDTF">2025-12-26T12:33:00Z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